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16213" w14:textId="239F70E0" w:rsidR="00606596" w:rsidRPr="000F6B02" w:rsidRDefault="00606596" w:rsidP="00606596">
      <w:pPr>
        <w:tabs>
          <w:tab w:val="center" w:pos="4536"/>
          <w:tab w:val="right" w:pos="8280"/>
          <w:tab w:val="right" w:pos="9639"/>
        </w:tabs>
        <w:ind w:right="2"/>
        <w:rPr>
          <w:rFonts w:ascii="Arial" w:hAnsi="Arial" w:cs="Arial"/>
          <w:b/>
          <w:bCs/>
        </w:rPr>
      </w:pPr>
      <w:r w:rsidRPr="000F6B02">
        <w:rPr>
          <w:rFonts w:ascii="Arial" w:hAnsi="Arial" w:cs="Arial"/>
          <w:b/>
          <w:bCs/>
        </w:rPr>
        <w:t>3GPP TSG RAN WG1 #102-e</w:t>
      </w:r>
      <w:r w:rsidRPr="000F6B02">
        <w:rPr>
          <w:rFonts w:ascii="Arial" w:hAnsi="Arial" w:cs="Arial"/>
          <w:b/>
          <w:bCs/>
        </w:rPr>
        <w:tab/>
      </w:r>
      <w:r w:rsidRPr="000F6B02">
        <w:rPr>
          <w:rFonts w:ascii="Arial" w:hAnsi="Arial" w:cs="Arial"/>
          <w:b/>
          <w:bCs/>
        </w:rPr>
        <w:tab/>
      </w:r>
      <w:r w:rsidRPr="000F6B02">
        <w:rPr>
          <w:rFonts w:ascii="Arial" w:hAnsi="Arial" w:cs="Arial"/>
          <w:b/>
          <w:bCs/>
        </w:rPr>
        <w:tab/>
      </w:r>
      <w:bookmarkStart w:id="0" w:name="_GoBack"/>
      <w:bookmarkEnd w:id="0"/>
      <w:r w:rsidR="00236615" w:rsidRPr="00236615">
        <w:rPr>
          <w:rFonts w:ascii="Arial" w:hAnsi="Arial" w:cs="Arial"/>
          <w:b/>
          <w:bCs/>
        </w:rPr>
        <w:t>R1-2006730</w:t>
      </w:r>
    </w:p>
    <w:p w14:paraId="2EFC3717" w14:textId="77777777" w:rsidR="00606596" w:rsidRPr="000F6B02" w:rsidRDefault="00606596" w:rsidP="00606596">
      <w:pPr>
        <w:tabs>
          <w:tab w:val="center" w:pos="4536"/>
          <w:tab w:val="right" w:pos="9072"/>
        </w:tabs>
        <w:rPr>
          <w:rFonts w:ascii="Arial" w:eastAsia="ＭＳ 明朝" w:hAnsi="Arial" w:cs="Arial"/>
          <w:b/>
          <w:bCs/>
        </w:rPr>
      </w:pPr>
      <w:proofErr w:type="gramStart"/>
      <w:r w:rsidRPr="000F6B02">
        <w:rPr>
          <w:rFonts w:ascii="Arial" w:eastAsia="ＭＳ 明朝" w:hAnsi="Arial" w:cs="Arial"/>
          <w:b/>
          <w:bCs/>
        </w:rPr>
        <w:t>e-Meeting</w:t>
      </w:r>
      <w:proofErr w:type="gramEnd"/>
      <w:r w:rsidRPr="000F6B02">
        <w:rPr>
          <w:rFonts w:ascii="Arial" w:eastAsia="ＭＳ 明朝" w:hAnsi="Arial" w:cs="Arial"/>
          <w:b/>
          <w:bCs/>
        </w:rPr>
        <w:t>, August 17</w:t>
      </w:r>
      <w:r w:rsidRPr="000F6B02">
        <w:rPr>
          <w:rFonts w:ascii="Arial" w:eastAsia="ＭＳ 明朝" w:hAnsi="Arial" w:cs="Arial"/>
          <w:b/>
          <w:bCs/>
          <w:vertAlign w:val="superscript"/>
        </w:rPr>
        <w:t>th</w:t>
      </w:r>
      <w:r w:rsidRPr="000F6B02">
        <w:rPr>
          <w:rFonts w:ascii="Arial" w:eastAsia="ＭＳ 明朝" w:hAnsi="Arial" w:cs="Arial"/>
          <w:b/>
          <w:bCs/>
        </w:rPr>
        <w:t xml:space="preserve"> – 28</w:t>
      </w:r>
      <w:r w:rsidRPr="000F6B02">
        <w:rPr>
          <w:rFonts w:ascii="Arial" w:eastAsia="ＭＳ 明朝" w:hAnsi="Arial" w:cs="Arial"/>
          <w:b/>
          <w:bCs/>
          <w:vertAlign w:val="superscript"/>
        </w:rPr>
        <w:t>th</w:t>
      </w:r>
      <w:r w:rsidRPr="000F6B02">
        <w:rPr>
          <w:rFonts w:ascii="Arial" w:eastAsia="ＭＳ 明朝" w:hAnsi="Arial" w:cs="Arial"/>
          <w:b/>
          <w:bCs/>
        </w:rPr>
        <w:t>, 2020</w:t>
      </w:r>
    </w:p>
    <w:p w14:paraId="616466B9" w14:textId="77777777" w:rsidR="00EF5B82" w:rsidRPr="00606596" w:rsidRDefault="00EF5B82" w:rsidP="00EF5B82">
      <w:pPr>
        <w:pStyle w:val="a7"/>
        <w:ind w:left="1800" w:hanging="1800"/>
        <w:rPr>
          <w:rFonts w:eastAsia="ＭＳ ゴシック"/>
          <w:noProof w:val="0"/>
          <w:sz w:val="24"/>
          <w:lang w:eastAsia="ja-JP"/>
        </w:rPr>
      </w:pPr>
    </w:p>
    <w:p w14:paraId="63C5B2A7" w14:textId="070133E3"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CA2591D"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FE439B">
        <w:rPr>
          <w:sz w:val="24"/>
          <w:lang w:val="en-US"/>
        </w:rPr>
        <w:t xml:space="preserve">Discussion on </w:t>
      </w:r>
      <w:r w:rsidR="001D638F">
        <w:rPr>
          <w:bCs/>
          <w:sz w:val="24"/>
          <w:lang w:eastAsia="ja-JP"/>
        </w:rPr>
        <w:t>e</w:t>
      </w:r>
      <w:r w:rsidR="00A831A7" w:rsidRPr="00A831A7">
        <w:rPr>
          <w:bCs/>
          <w:sz w:val="24"/>
          <w:lang w:eastAsia="ja-JP"/>
        </w:rPr>
        <w:t>nhancement</w:t>
      </w:r>
      <w:r w:rsidR="001D638F">
        <w:rPr>
          <w:bCs/>
          <w:sz w:val="24"/>
          <w:lang w:eastAsia="ja-JP"/>
        </w:rPr>
        <w:t>s for unlicensed band URLLC</w:t>
      </w:r>
    </w:p>
    <w:p w14:paraId="327D0F9A" w14:textId="5F63051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A112E1">
        <w:rPr>
          <w:rFonts w:hint="eastAsia"/>
          <w:sz w:val="24"/>
          <w:lang w:val="en-US" w:eastAsia="ja-JP"/>
        </w:rPr>
        <w:t>8.3</w:t>
      </w:r>
      <w:r w:rsidR="00A831A7">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B2F4D6" w14:textId="5E1AF0A7" w:rsidR="00E853F5" w:rsidRDefault="00E853F5" w:rsidP="00E853F5">
      <w:pPr>
        <w:spacing w:afterLines="50" w:after="120"/>
        <w:jc w:val="both"/>
        <w:rPr>
          <w:rFonts w:eastAsia="ＭＳ 明朝"/>
          <w:sz w:val="22"/>
          <w:szCs w:val="22"/>
          <w:lang w:val="en-US"/>
        </w:rPr>
      </w:pPr>
      <w:r>
        <w:rPr>
          <w:rFonts w:eastAsia="ＭＳ 明朝"/>
          <w:sz w:val="22"/>
          <w:szCs w:val="22"/>
          <w:lang w:val="en-US"/>
        </w:rPr>
        <w:t xml:space="preserve">At RAN#88e meeting, </w:t>
      </w:r>
      <w:r w:rsidR="000A78F8">
        <w:rPr>
          <w:rFonts w:eastAsia="ＭＳ 明朝"/>
          <w:sz w:val="22"/>
          <w:szCs w:val="22"/>
          <w:lang w:val="en-US"/>
        </w:rPr>
        <w:t>revised WID on enhanced industrial internet of t</w:t>
      </w:r>
      <w:r w:rsidR="000A78F8" w:rsidRPr="000A78F8">
        <w:rPr>
          <w:rFonts w:eastAsia="ＭＳ 明朝"/>
          <w:sz w:val="22"/>
          <w:szCs w:val="22"/>
          <w:lang w:val="en-US"/>
        </w:rPr>
        <w:t>hings (</w:t>
      </w:r>
      <w:proofErr w:type="spellStart"/>
      <w:r w:rsidR="000A78F8" w:rsidRPr="000A78F8">
        <w:rPr>
          <w:rFonts w:eastAsia="ＭＳ 明朝"/>
          <w:sz w:val="22"/>
          <w:szCs w:val="22"/>
          <w:lang w:val="en-US"/>
        </w:rPr>
        <w:t>IoT</w:t>
      </w:r>
      <w:proofErr w:type="spellEnd"/>
      <w:r w:rsidR="000A78F8" w:rsidRPr="000A78F8">
        <w:rPr>
          <w:rFonts w:eastAsia="ＭＳ 明朝"/>
          <w:sz w:val="22"/>
          <w:szCs w:val="22"/>
          <w:lang w:val="en-US"/>
        </w:rPr>
        <w:t xml:space="preserve">) and ultra-reliable and low latency communication (URLLC) support for NR </w:t>
      </w:r>
      <w:r>
        <w:rPr>
          <w:rFonts w:eastAsia="ＭＳ 明朝"/>
          <w:sz w:val="22"/>
          <w:szCs w:val="22"/>
          <w:lang w:val="en-US"/>
        </w:rPr>
        <w:t xml:space="preserve">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853F5" w14:paraId="515FF01F" w14:textId="77777777" w:rsidTr="00852D15">
        <w:tc>
          <w:tcPr>
            <w:tcW w:w="9962" w:type="dxa"/>
          </w:tcPr>
          <w:p w14:paraId="05B4E74F" w14:textId="77777777" w:rsidR="000A78F8" w:rsidRPr="000A78F8" w:rsidRDefault="000A78F8" w:rsidP="000A78F8">
            <w:pPr>
              <w:numPr>
                <w:ilvl w:val="0"/>
                <w:numId w:val="44"/>
              </w:numPr>
              <w:rPr>
                <w:rFonts w:eastAsia="SimSun"/>
                <w:sz w:val="20"/>
                <w:lang w:val="en-US" w:eastAsia="fi-FI"/>
              </w:rPr>
            </w:pPr>
            <w:r w:rsidRPr="000A78F8">
              <w:rPr>
                <w:rFonts w:eastAsia="SimSun"/>
                <w:sz w:val="20"/>
                <w:lang w:val="en-US" w:eastAsia="en-GB"/>
              </w:rPr>
              <w:t xml:space="preserve">Study, identify and specify if needed, required Physical Layer feedback enhancements for meeting URLLC requirements covering </w:t>
            </w:r>
          </w:p>
          <w:p w14:paraId="081A80A5" w14:textId="77777777" w:rsidR="000A78F8" w:rsidRPr="000A78F8" w:rsidRDefault="000A78F8" w:rsidP="000A78F8">
            <w:pPr>
              <w:numPr>
                <w:ilvl w:val="2"/>
                <w:numId w:val="44"/>
              </w:numPr>
              <w:rPr>
                <w:rFonts w:eastAsia="SimSun"/>
                <w:sz w:val="20"/>
                <w:lang w:val="en-US" w:eastAsia="en-GB"/>
              </w:rPr>
            </w:pPr>
            <w:r w:rsidRPr="000A78F8">
              <w:rPr>
                <w:rFonts w:eastAsia="SimSun"/>
                <w:sz w:val="20"/>
                <w:lang w:val="en-US" w:eastAsia="en-GB"/>
              </w:rPr>
              <w:t>UE feedback enhancements for HARQ-ACK [RAN1]</w:t>
            </w:r>
          </w:p>
          <w:p w14:paraId="7BC5DD3B" w14:textId="77777777" w:rsidR="000A78F8" w:rsidRPr="000A78F8" w:rsidRDefault="000A78F8" w:rsidP="000A78F8">
            <w:pPr>
              <w:numPr>
                <w:ilvl w:val="2"/>
                <w:numId w:val="44"/>
              </w:numPr>
              <w:rPr>
                <w:rFonts w:eastAsia="Times New Roman"/>
                <w:sz w:val="20"/>
                <w:lang w:val="en-US"/>
              </w:rPr>
            </w:pPr>
            <w:r w:rsidRPr="000A78F8">
              <w:rPr>
                <w:rFonts w:eastAsia="Times New Roman"/>
                <w:sz w:val="20"/>
                <w:lang w:val="en-US"/>
              </w:rPr>
              <w:t>CSI feedback enhancements to allow for more accurate MCS selection [RAN1]</w:t>
            </w:r>
          </w:p>
          <w:p w14:paraId="70C50F7A" w14:textId="77777777" w:rsidR="000A78F8" w:rsidRPr="000A78F8" w:rsidRDefault="000A78F8" w:rsidP="000A78F8">
            <w:pPr>
              <w:ind w:left="2160"/>
              <w:rPr>
                <w:rFonts w:eastAsia="Times New Roman"/>
                <w:sz w:val="20"/>
                <w:lang w:val="en-US"/>
              </w:rPr>
            </w:pPr>
            <w:r w:rsidRPr="000A78F8">
              <w:rPr>
                <w:rFonts w:eastAsia="Times New Roman"/>
                <w:sz w:val="20"/>
                <w:lang w:val="en-US"/>
              </w:rPr>
              <w:t xml:space="preserve">Note: DMRS-based CSI feedback is not in scope of this WI </w:t>
            </w:r>
          </w:p>
          <w:p w14:paraId="52EF9CA7" w14:textId="77777777" w:rsidR="000A78F8" w:rsidRPr="000A78F8" w:rsidRDefault="000A78F8" w:rsidP="000A78F8">
            <w:pPr>
              <w:numPr>
                <w:ilvl w:val="0"/>
                <w:numId w:val="44"/>
              </w:numPr>
              <w:jc w:val="both"/>
              <w:rPr>
                <w:rFonts w:eastAsia="SimSun"/>
                <w:sz w:val="20"/>
                <w:lang w:val="en-US" w:eastAsia="fi-FI"/>
              </w:rPr>
            </w:pPr>
            <w:bookmarkStart w:id="3" w:name="_Hlk26864288"/>
            <w:r w:rsidRPr="000A78F8">
              <w:rPr>
                <w:rFonts w:eastAsia="SimSun"/>
                <w:sz w:val="20"/>
                <w:lang w:val="en-US" w:eastAsia="en-GB"/>
              </w:rPr>
              <w:t xml:space="preserve">Uplink enhancements for URLLC in unlicensed controlled environments </w:t>
            </w:r>
            <w:r w:rsidRPr="000A78F8">
              <w:rPr>
                <w:rFonts w:eastAsia="SimSun"/>
                <w:sz w:val="20"/>
                <w:lang w:val="en-US"/>
              </w:rPr>
              <w:t>[RAN1, RAN2]:</w:t>
            </w:r>
          </w:p>
          <w:p w14:paraId="4D598AB5" w14:textId="77777777" w:rsidR="000A78F8" w:rsidRPr="000A78F8" w:rsidRDefault="000A78F8" w:rsidP="000A78F8">
            <w:pPr>
              <w:numPr>
                <w:ilvl w:val="1"/>
                <w:numId w:val="44"/>
              </w:numPr>
              <w:jc w:val="both"/>
              <w:rPr>
                <w:rFonts w:eastAsia="SimSun"/>
                <w:sz w:val="20"/>
                <w:lang w:eastAsia="fi-FI"/>
              </w:rPr>
            </w:pPr>
            <w:r w:rsidRPr="000A78F8">
              <w:rPr>
                <w:rFonts w:eastAsia="SimSun"/>
                <w:sz w:val="20"/>
                <w:lang w:eastAsia="fi-FI"/>
              </w:rPr>
              <w:t xml:space="preserve"> </w:t>
            </w:r>
            <w:r w:rsidRPr="000A78F8">
              <w:rPr>
                <w:rFonts w:eastAsia="SimSun"/>
                <w:sz w:val="20"/>
                <w:lang w:val="en-US" w:eastAsia="fi-FI"/>
              </w:rPr>
              <w:t>Specify support for UE-initiated COT for FBE with minimum specification effort</w:t>
            </w:r>
          </w:p>
          <w:p w14:paraId="7F2B2C00" w14:textId="77777777" w:rsidR="000A78F8" w:rsidRPr="000A78F8" w:rsidRDefault="000A78F8" w:rsidP="000A78F8">
            <w:pPr>
              <w:numPr>
                <w:ilvl w:val="1"/>
                <w:numId w:val="44"/>
              </w:numPr>
              <w:jc w:val="both"/>
              <w:rPr>
                <w:rFonts w:eastAsia="SimSun"/>
                <w:sz w:val="20"/>
                <w:lang w:eastAsia="fi-FI"/>
              </w:rPr>
            </w:pPr>
            <w:r w:rsidRPr="000A78F8">
              <w:rPr>
                <w:rFonts w:eastAsia="SimSun"/>
                <w:sz w:val="20"/>
                <w:lang w:eastAsia="fi-FI"/>
              </w:rPr>
              <w:t xml:space="preserve"> </w:t>
            </w:r>
            <w:r w:rsidRPr="000A78F8">
              <w:rPr>
                <w:rFonts w:eastAsia="SimSun"/>
                <w:sz w:val="20"/>
                <w:lang w:val="en-US" w:eastAsia="fi-FI"/>
              </w:rPr>
              <w:t>Harmonizing UL configured-grant enhancements in NR-U and URLLC introduced in Rel-16 to be applicable for unlicensed spectrum</w:t>
            </w:r>
          </w:p>
          <w:bookmarkEnd w:id="3"/>
          <w:p w14:paraId="302701D9" w14:textId="77777777" w:rsidR="000A78F8" w:rsidRPr="000A78F8" w:rsidRDefault="000A78F8" w:rsidP="000A78F8">
            <w:pPr>
              <w:numPr>
                <w:ilvl w:val="0"/>
                <w:numId w:val="44"/>
              </w:numPr>
              <w:jc w:val="both"/>
              <w:rPr>
                <w:rFonts w:eastAsia="SimSun"/>
                <w:bCs/>
                <w:sz w:val="20"/>
                <w:lang w:val="en-US" w:eastAsia="en-GB"/>
              </w:rPr>
            </w:pPr>
            <w:r w:rsidRPr="000A78F8">
              <w:rPr>
                <w:rFonts w:eastAsia="SimSun"/>
                <w:sz w:val="20"/>
              </w:rPr>
              <w:t>Intra-UE multiplexing and prioritization of traffic with different priority</w:t>
            </w:r>
            <w:r w:rsidRPr="000A78F8">
              <w:rPr>
                <w:rFonts w:eastAsia="SimSun"/>
                <w:sz w:val="20"/>
                <w:lang w:eastAsia="en-GB"/>
              </w:rPr>
              <w:t xml:space="preserve"> </w:t>
            </w:r>
            <w:r w:rsidRPr="000A78F8">
              <w:rPr>
                <w:rFonts w:eastAsia="SimSun"/>
                <w:sz w:val="20"/>
              </w:rPr>
              <w:t>based on work done in Rel.16 [RAN1]:</w:t>
            </w:r>
          </w:p>
          <w:p w14:paraId="637EA57E" w14:textId="77777777" w:rsidR="000A78F8" w:rsidRPr="000A78F8" w:rsidRDefault="000A78F8" w:rsidP="000A78F8">
            <w:pPr>
              <w:numPr>
                <w:ilvl w:val="0"/>
                <w:numId w:val="46"/>
              </w:numPr>
              <w:ind w:left="1434" w:hanging="357"/>
              <w:jc w:val="both"/>
              <w:rPr>
                <w:rFonts w:eastAsia="SimSun"/>
                <w:bCs/>
                <w:sz w:val="20"/>
                <w:lang w:val="en-US" w:eastAsia="en-GB"/>
              </w:rPr>
            </w:pPr>
            <w:r w:rsidRPr="000A78F8">
              <w:rPr>
                <w:rFonts w:eastAsia="SimSun"/>
                <w:bCs/>
                <w:sz w:val="20"/>
                <w:lang w:val="en-US" w:eastAsia="en-GB"/>
              </w:rPr>
              <w:t xml:space="preserve">Specify multiplexing behavior among HARQ-ACK/SR/CSI and PUSCH for traffic with different priorities, including the cases with UCI on PUCCH and UCI on PUSCH. </w:t>
            </w:r>
          </w:p>
          <w:p w14:paraId="64CD7348" w14:textId="6568CC39" w:rsidR="000A78F8" w:rsidRPr="000A78F8" w:rsidRDefault="000A78F8" w:rsidP="000A78F8">
            <w:pPr>
              <w:numPr>
                <w:ilvl w:val="0"/>
                <w:numId w:val="46"/>
              </w:numPr>
              <w:jc w:val="both"/>
              <w:rPr>
                <w:rFonts w:eastAsia="Times New Roman"/>
                <w:sz w:val="20"/>
                <w:lang w:val="en-US" w:eastAsia="zh-TW"/>
              </w:rPr>
            </w:pPr>
            <w:r w:rsidRPr="000A78F8">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38CC89F1" w14:textId="77777777" w:rsidR="000A78F8" w:rsidRPr="000A78F8" w:rsidRDefault="000A78F8" w:rsidP="000A78F8">
            <w:pPr>
              <w:numPr>
                <w:ilvl w:val="0"/>
                <w:numId w:val="44"/>
              </w:numPr>
              <w:rPr>
                <w:rFonts w:eastAsia="SimSun"/>
                <w:bCs/>
                <w:sz w:val="20"/>
                <w:lang w:eastAsia="en-GB"/>
              </w:rPr>
            </w:pPr>
            <w:r w:rsidRPr="000A78F8">
              <w:rPr>
                <w:rFonts w:eastAsia="SimSun"/>
                <w:bCs/>
                <w:sz w:val="20"/>
                <w:lang w:eastAsia="en-GB"/>
              </w:rPr>
              <w:t>Enhancements for support of time synchronization:</w:t>
            </w:r>
          </w:p>
          <w:p w14:paraId="19D4B4E6" w14:textId="77777777" w:rsidR="000A78F8" w:rsidRPr="000A78F8" w:rsidRDefault="000A78F8" w:rsidP="000A78F8">
            <w:pPr>
              <w:numPr>
                <w:ilvl w:val="0"/>
                <w:numId w:val="45"/>
              </w:numPr>
              <w:rPr>
                <w:rFonts w:eastAsia="SimSun"/>
                <w:bCs/>
                <w:sz w:val="20"/>
                <w:lang w:eastAsia="en-GB"/>
              </w:rPr>
            </w:pPr>
            <w:r w:rsidRPr="000A78F8">
              <w:rPr>
                <w:rFonts w:eastAsia="SimSun"/>
                <w:sz w:val="20"/>
                <w:lang w:val="en-US" w:eastAsia="en-GB"/>
              </w:rPr>
              <w:t>RAN impacts of SA2 work on uplink time synchronization for TSN, if any.</w:t>
            </w:r>
            <w:r w:rsidRPr="000A78F8">
              <w:rPr>
                <w:rFonts w:eastAsia="SimSun"/>
                <w:bCs/>
                <w:sz w:val="20"/>
                <w:lang w:eastAsia="en-GB"/>
              </w:rPr>
              <w:t xml:space="preserve"> [RAN2]</w:t>
            </w:r>
          </w:p>
          <w:p w14:paraId="102CA6F0" w14:textId="77777777" w:rsidR="000A78F8" w:rsidRPr="000A78F8" w:rsidRDefault="000A78F8" w:rsidP="000A78F8">
            <w:pPr>
              <w:numPr>
                <w:ilvl w:val="0"/>
                <w:numId w:val="45"/>
              </w:numPr>
              <w:ind w:left="1434" w:hanging="357"/>
              <w:rPr>
                <w:rFonts w:eastAsia="SimSun"/>
                <w:bCs/>
                <w:sz w:val="20"/>
                <w:lang w:eastAsia="en-GB"/>
              </w:rPr>
            </w:pPr>
            <w:r w:rsidRPr="000A78F8">
              <w:rPr>
                <w:rFonts w:eastAsia="SimSun"/>
                <w:bCs/>
                <w:sz w:val="20"/>
                <w:lang w:eastAsia="en-GB"/>
              </w:rPr>
              <w:t>Propagation delay compensation enhancements (including mobility issues, if any). [RAN2, RAN1, RAN3, RAN4]</w:t>
            </w:r>
          </w:p>
          <w:p w14:paraId="3083F522" w14:textId="130F6FF9" w:rsidR="00E853F5" w:rsidRPr="000A78F8" w:rsidRDefault="000A78F8" w:rsidP="000A78F8">
            <w:pPr>
              <w:numPr>
                <w:ilvl w:val="0"/>
                <w:numId w:val="44"/>
              </w:numPr>
              <w:rPr>
                <w:rFonts w:eastAsia="SimSun"/>
                <w:bCs/>
                <w:sz w:val="20"/>
                <w:lang w:eastAsia="en-GB"/>
              </w:rPr>
            </w:pPr>
            <w:r w:rsidRPr="000A78F8">
              <w:rPr>
                <w:rFonts w:eastAsia="SimSun"/>
                <w:bCs/>
                <w:sz w:val="20"/>
                <w:lang w:eastAsia="en-GB"/>
              </w:rPr>
              <w:t xml:space="preserve">RAN enhancements based on new </w:t>
            </w:r>
            <w:proofErr w:type="spellStart"/>
            <w:r w:rsidRPr="000A78F8">
              <w:rPr>
                <w:rFonts w:eastAsia="SimSun"/>
                <w:bCs/>
                <w:sz w:val="20"/>
                <w:lang w:eastAsia="en-GB"/>
              </w:rPr>
              <w:t>QoS</w:t>
            </w:r>
            <w:proofErr w:type="spellEnd"/>
            <w:r w:rsidRPr="000A78F8">
              <w:rPr>
                <w:rFonts w:eastAsia="SimSun"/>
                <w:bCs/>
                <w:sz w:val="20"/>
                <w:lang w:eastAsia="en-GB"/>
              </w:rPr>
              <w:t xml:space="preserve"> related parameters if any, e.g. survival time, burst spread, decided in SA2. [RAN2, RAN3] </w:t>
            </w:r>
          </w:p>
        </w:tc>
      </w:tr>
    </w:tbl>
    <w:p w14:paraId="688BACC7" w14:textId="77777777" w:rsidR="00E853F5" w:rsidRDefault="00E853F5" w:rsidP="00E853F5">
      <w:pPr>
        <w:spacing w:afterLines="50" w:after="120"/>
        <w:jc w:val="both"/>
        <w:rPr>
          <w:rFonts w:eastAsia="ＭＳ 明朝"/>
          <w:sz w:val="22"/>
          <w:szCs w:val="22"/>
          <w:lang w:val="en-US"/>
        </w:rPr>
      </w:pPr>
    </w:p>
    <w:p w14:paraId="72D33AD0" w14:textId="738C1FE0" w:rsidR="00EF5B82" w:rsidRPr="00C55E26" w:rsidRDefault="00EF5B82" w:rsidP="00EF5B82">
      <w:pPr>
        <w:spacing w:afterLines="50" w:after="120"/>
        <w:jc w:val="both"/>
        <w:rPr>
          <w:rFonts w:eastAsia="ＭＳ 明朝"/>
          <w:sz w:val="22"/>
          <w:szCs w:val="22"/>
          <w:lang w:val="en-US"/>
        </w:rPr>
      </w:pPr>
      <w:r>
        <w:rPr>
          <w:rFonts w:eastAsia="ＭＳ 明朝"/>
          <w:sz w:val="22"/>
          <w:szCs w:val="22"/>
          <w:lang w:val="en-US"/>
        </w:rPr>
        <w:t>As sho</w:t>
      </w:r>
      <w:r w:rsidRPr="00C55E26">
        <w:rPr>
          <w:rFonts w:eastAsia="ＭＳ 明朝"/>
          <w:sz w:val="22"/>
          <w:szCs w:val="22"/>
          <w:lang w:val="en-US"/>
        </w:rPr>
        <w:t>w</w:t>
      </w:r>
      <w:r w:rsidR="0082606A" w:rsidRPr="00C55E26">
        <w:rPr>
          <w:rFonts w:eastAsia="ＭＳ 明朝"/>
          <w:sz w:val="22"/>
          <w:szCs w:val="22"/>
          <w:lang w:val="en-US"/>
        </w:rPr>
        <w:t>n above, the objective of this W</w:t>
      </w:r>
      <w:r w:rsidRPr="00C55E26">
        <w:rPr>
          <w:rFonts w:eastAsia="ＭＳ 明朝"/>
          <w:sz w:val="22"/>
          <w:szCs w:val="22"/>
          <w:lang w:val="en-US"/>
        </w:rPr>
        <w:t xml:space="preserve">I includes </w:t>
      </w:r>
      <w:r w:rsidR="00B13265" w:rsidRPr="00C55E26">
        <w:rPr>
          <w:rFonts w:eastAsia="SimSun"/>
          <w:sz w:val="22"/>
          <w:szCs w:val="22"/>
          <w:lang w:val="en-US" w:eastAsia="en-GB"/>
        </w:rPr>
        <w:t xml:space="preserve">uplink enhancements for URLLC in unlicensed controlled environments including </w:t>
      </w:r>
      <w:r w:rsidR="00B13265" w:rsidRPr="00C55E26">
        <w:rPr>
          <w:rFonts w:eastAsia="SimSun"/>
          <w:sz w:val="22"/>
          <w:szCs w:val="22"/>
          <w:lang w:val="en-US" w:eastAsia="fi-FI"/>
        </w:rPr>
        <w:t>UE-initiated COT for FBE and harmonizing UL configured-grant enhancements in NR-U and URLLC</w:t>
      </w:r>
      <w:r w:rsidRPr="00C55E26">
        <w:rPr>
          <w:rFonts w:eastAsia="ＭＳ 明朝"/>
          <w:sz w:val="22"/>
          <w:szCs w:val="22"/>
          <w:lang w:val="en-US"/>
        </w:rPr>
        <w:t xml:space="preserve">. In </w:t>
      </w:r>
      <w:r w:rsidR="00832404" w:rsidRPr="00C55E26">
        <w:rPr>
          <w:rFonts w:eastAsia="ＭＳ 明朝"/>
          <w:sz w:val="22"/>
          <w:szCs w:val="22"/>
          <w:lang w:val="en-US"/>
        </w:rPr>
        <w:t xml:space="preserve">the following section, the potential </w:t>
      </w:r>
      <w:r w:rsidR="002B012C" w:rsidRPr="00C55E26">
        <w:rPr>
          <w:rFonts w:eastAsia="ＭＳ 明朝"/>
          <w:sz w:val="22"/>
          <w:szCs w:val="22"/>
          <w:lang w:val="en-US"/>
        </w:rPr>
        <w:t>enhancements</w:t>
      </w:r>
      <w:r w:rsidR="00832404" w:rsidRPr="00C55E26">
        <w:rPr>
          <w:rFonts w:eastAsia="ＭＳ 明朝"/>
          <w:sz w:val="22"/>
          <w:szCs w:val="22"/>
          <w:lang w:val="en-US"/>
        </w:rPr>
        <w:t xml:space="preserve"> are</w:t>
      </w:r>
      <w:r w:rsidRPr="00C55E26">
        <w:rPr>
          <w:rFonts w:eastAsia="ＭＳ 明朝"/>
          <w:sz w:val="22"/>
          <w:szCs w:val="22"/>
          <w:lang w:val="en-US"/>
        </w:rPr>
        <w:t xml:space="preserve"> discussed.</w:t>
      </w:r>
    </w:p>
    <w:p w14:paraId="093EFF21" w14:textId="04144D75" w:rsidR="00C4049C" w:rsidRDefault="00C4049C" w:rsidP="00F26F8D">
      <w:pPr>
        <w:spacing w:afterLines="50" w:after="120"/>
        <w:jc w:val="both"/>
        <w:rPr>
          <w:rFonts w:eastAsia="ＭＳ 明朝"/>
          <w:sz w:val="22"/>
          <w:szCs w:val="22"/>
          <w:lang w:val="en-US"/>
        </w:rPr>
      </w:pPr>
    </w:p>
    <w:p w14:paraId="079EBB15" w14:textId="641D85DF" w:rsidR="00E77DB5" w:rsidRDefault="00B13265" w:rsidP="00B13265">
      <w:pPr>
        <w:pStyle w:val="1"/>
        <w:numPr>
          <w:ilvl w:val="0"/>
          <w:numId w:val="6"/>
        </w:numPr>
        <w:spacing w:before="180" w:after="120"/>
        <w:rPr>
          <w:rFonts w:eastAsia="ＭＳ 明朝"/>
          <w:b/>
          <w:bCs/>
          <w:szCs w:val="24"/>
          <w:lang w:val="en-US"/>
        </w:rPr>
      </w:pPr>
      <w:r>
        <w:rPr>
          <w:rFonts w:eastAsia="ＭＳ 明朝"/>
          <w:b/>
          <w:bCs/>
          <w:szCs w:val="24"/>
          <w:lang w:val="en-US"/>
        </w:rPr>
        <w:lastRenderedPageBreak/>
        <w:t>U</w:t>
      </w:r>
      <w:r w:rsidRPr="00B13265">
        <w:rPr>
          <w:rFonts w:eastAsia="ＭＳ 明朝"/>
          <w:b/>
          <w:bCs/>
          <w:szCs w:val="24"/>
          <w:lang w:val="en-US"/>
        </w:rPr>
        <w:t>plink enhancements for URLLC in unlicensed controlled environments</w:t>
      </w:r>
    </w:p>
    <w:p w14:paraId="6CF9EBB5" w14:textId="0A27617E" w:rsidR="00E16C39" w:rsidRPr="00E16C39" w:rsidRDefault="00B13265" w:rsidP="00B13265">
      <w:pPr>
        <w:pStyle w:val="1"/>
        <w:numPr>
          <w:ilvl w:val="1"/>
          <w:numId w:val="6"/>
        </w:numPr>
        <w:spacing w:before="180" w:after="120"/>
        <w:rPr>
          <w:rFonts w:eastAsia="ＭＳ 明朝"/>
          <w:b/>
          <w:bCs/>
          <w:sz w:val="24"/>
          <w:szCs w:val="24"/>
          <w:lang w:val="en-US"/>
        </w:rPr>
      </w:pPr>
      <w:r w:rsidRPr="00B13265">
        <w:rPr>
          <w:rFonts w:eastAsia="ＭＳ 明朝"/>
          <w:b/>
          <w:bCs/>
          <w:sz w:val="24"/>
          <w:szCs w:val="24"/>
          <w:lang w:val="en-US"/>
        </w:rPr>
        <w:t>UE-initiated COT for FBE</w:t>
      </w:r>
    </w:p>
    <w:p w14:paraId="6EB7D6F1" w14:textId="1B63389B" w:rsidR="003D2476" w:rsidRDefault="003D2476" w:rsidP="00AE49BB">
      <w:pPr>
        <w:spacing w:afterLines="50" w:after="120"/>
        <w:jc w:val="both"/>
        <w:rPr>
          <w:rFonts w:eastAsia="ＭＳ 明朝"/>
          <w:sz w:val="22"/>
          <w:szCs w:val="22"/>
          <w:lang w:val="en-US"/>
        </w:rPr>
      </w:pPr>
      <w:r>
        <w:rPr>
          <w:rFonts w:eastAsia="ＭＳ 明朝" w:hint="eastAsia"/>
          <w:sz w:val="22"/>
          <w:szCs w:val="22"/>
          <w:lang w:val="en-US"/>
        </w:rPr>
        <w:t>In Rel.16</w:t>
      </w:r>
      <w:r>
        <w:rPr>
          <w:rFonts w:eastAsia="ＭＳ 明朝"/>
          <w:sz w:val="22"/>
          <w:szCs w:val="22"/>
          <w:lang w:val="en-US"/>
        </w:rPr>
        <w:t xml:space="preserve"> NR-U, only </w:t>
      </w:r>
      <w:proofErr w:type="spellStart"/>
      <w:r>
        <w:rPr>
          <w:rFonts w:eastAsia="ＭＳ 明朝"/>
          <w:sz w:val="22"/>
          <w:szCs w:val="22"/>
          <w:lang w:val="en-US"/>
        </w:rPr>
        <w:t>gNB</w:t>
      </w:r>
      <w:proofErr w:type="spellEnd"/>
      <w:r>
        <w:rPr>
          <w:rFonts w:eastAsia="ＭＳ 明朝"/>
          <w:sz w:val="22"/>
          <w:szCs w:val="22"/>
          <w:lang w:val="en-US"/>
        </w:rPr>
        <w:t xml:space="preserve"> can initiate COT (i.e., every COT starts from DL) for FBE operation and hence, UL transmission is not allowed at the beginning of FFP. To reduce the UL latency, UE-initiated COT has been decided to be specified in Rel.17. While FBE operation makes LBT simple, the main drawback of FBE is that when the initiating device fails to initiated COT at the beginning of an FFP due to LBT failure, no node can access the channel during the FFP. In addition, as shown in Fig. 1, when </w:t>
      </w:r>
      <w:proofErr w:type="spellStart"/>
      <w:r>
        <w:rPr>
          <w:rFonts w:eastAsia="ＭＳ 明朝"/>
          <w:sz w:val="22"/>
          <w:szCs w:val="22"/>
          <w:lang w:val="en-US"/>
        </w:rPr>
        <w:t>gNB</w:t>
      </w:r>
      <w:proofErr w:type="spellEnd"/>
      <w:r>
        <w:rPr>
          <w:rFonts w:eastAsia="ＭＳ 明朝"/>
          <w:sz w:val="22"/>
          <w:szCs w:val="22"/>
          <w:lang w:val="en-US"/>
        </w:rPr>
        <w:t xml:space="preserve"> configures CG-PUSCH </w:t>
      </w:r>
      <w:r w:rsidR="00F61A90">
        <w:rPr>
          <w:rFonts w:eastAsia="ＭＳ 明朝"/>
          <w:sz w:val="22"/>
          <w:szCs w:val="22"/>
          <w:lang w:val="en-US"/>
        </w:rPr>
        <w:t xml:space="preserve">(or SR/PRACH) </w:t>
      </w:r>
      <w:r>
        <w:rPr>
          <w:rFonts w:eastAsia="ＭＳ 明朝"/>
          <w:sz w:val="22"/>
          <w:szCs w:val="22"/>
          <w:lang w:val="en-US"/>
        </w:rPr>
        <w:t xml:space="preserve">transmission occasion at the beginning of FFP for UE to initiate COT for low latency purpose but actually CG-PUSCH is not transmitted at the occasion, e.g., because of no UL traffic, UE does not initiate COT at the FFP. From </w:t>
      </w:r>
      <w:proofErr w:type="spellStart"/>
      <w:r>
        <w:rPr>
          <w:rFonts w:eastAsia="ＭＳ 明朝"/>
          <w:sz w:val="22"/>
          <w:szCs w:val="22"/>
          <w:lang w:val="en-US"/>
        </w:rPr>
        <w:t>gNB</w:t>
      </w:r>
      <w:proofErr w:type="spellEnd"/>
      <w:r>
        <w:rPr>
          <w:rFonts w:eastAsia="ＭＳ 明朝"/>
          <w:sz w:val="22"/>
          <w:szCs w:val="22"/>
          <w:lang w:val="en-US"/>
        </w:rPr>
        <w:t xml:space="preserve"> perspective, </w:t>
      </w:r>
      <w:proofErr w:type="spellStart"/>
      <w:r>
        <w:rPr>
          <w:rFonts w:eastAsia="ＭＳ 明朝"/>
          <w:sz w:val="22"/>
          <w:szCs w:val="22"/>
          <w:lang w:val="en-US"/>
        </w:rPr>
        <w:t>gNB</w:t>
      </w:r>
      <w:proofErr w:type="spellEnd"/>
      <w:r>
        <w:rPr>
          <w:rFonts w:eastAsia="ＭＳ 明朝"/>
          <w:sz w:val="22"/>
          <w:szCs w:val="22"/>
          <w:lang w:val="en-US"/>
        </w:rPr>
        <w:t xml:space="preserve"> blind-decodes CG-PUSCH at the occasion because </w:t>
      </w:r>
      <w:proofErr w:type="spellStart"/>
      <w:r>
        <w:rPr>
          <w:rFonts w:eastAsia="ＭＳ 明朝"/>
          <w:sz w:val="22"/>
          <w:szCs w:val="22"/>
          <w:lang w:val="en-US"/>
        </w:rPr>
        <w:t>gNB</w:t>
      </w:r>
      <w:proofErr w:type="spellEnd"/>
      <w:r>
        <w:rPr>
          <w:rFonts w:eastAsia="ＭＳ 明朝"/>
          <w:sz w:val="22"/>
          <w:szCs w:val="22"/>
          <w:lang w:val="en-US"/>
        </w:rPr>
        <w:t xml:space="preserve"> doesn’t know whether </w:t>
      </w:r>
      <w:r w:rsidR="00386B52">
        <w:rPr>
          <w:rFonts w:eastAsia="ＭＳ 明朝"/>
          <w:sz w:val="22"/>
          <w:szCs w:val="22"/>
          <w:lang w:val="en-US"/>
        </w:rPr>
        <w:t xml:space="preserve">or not CG-PUSCH is actually transmitted at the occasion, which means that </w:t>
      </w:r>
      <w:proofErr w:type="spellStart"/>
      <w:r w:rsidR="00386B52">
        <w:rPr>
          <w:rFonts w:eastAsia="ＭＳ 明朝"/>
          <w:sz w:val="22"/>
          <w:szCs w:val="22"/>
          <w:lang w:val="en-US"/>
        </w:rPr>
        <w:t>gNB</w:t>
      </w:r>
      <w:proofErr w:type="spellEnd"/>
      <w:r w:rsidR="00386B52">
        <w:rPr>
          <w:rFonts w:eastAsia="ＭＳ 明朝"/>
          <w:sz w:val="22"/>
          <w:szCs w:val="22"/>
          <w:lang w:val="en-US"/>
        </w:rPr>
        <w:t xml:space="preserve"> cannot initiate COT at the FFP. As the consequence, no node can access the channel during the FFP, which leads to significant system performance degradation.</w:t>
      </w:r>
      <w:r w:rsidR="00B11D7A">
        <w:rPr>
          <w:rFonts w:eastAsia="ＭＳ 明朝"/>
          <w:sz w:val="22"/>
          <w:szCs w:val="22"/>
          <w:lang w:val="en-US"/>
        </w:rPr>
        <w:t xml:space="preserve"> Therefore the solution to initiate COT when no node initiate</w:t>
      </w:r>
      <w:r w:rsidR="00140D2E">
        <w:rPr>
          <w:rFonts w:eastAsia="ＭＳ 明朝"/>
          <w:sz w:val="22"/>
          <w:szCs w:val="22"/>
          <w:lang w:val="en-US"/>
        </w:rPr>
        <w:t>s</w:t>
      </w:r>
      <w:r w:rsidR="00B11D7A">
        <w:rPr>
          <w:rFonts w:eastAsia="ＭＳ 明朝"/>
          <w:sz w:val="22"/>
          <w:szCs w:val="22"/>
          <w:lang w:val="en-US"/>
        </w:rPr>
        <w:t xml:space="preserve"> COT at the beginning of FFP should be studied to improve the system performance.</w:t>
      </w:r>
      <w:r w:rsidR="00F61A90">
        <w:rPr>
          <w:rFonts w:eastAsia="ＭＳ 明朝"/>
          <w:sz w:val="22"/>
          <w:szCs w:val="22"/>
          <w:lang w:val="en-US"/>
        </w:rPr>
        <w:t xml:space="preserve"> </w:t>
      </w:r>
    </w:p>
    <w:p w14:paraId="5CA1D7EA" w14:textId="280AC613" w:rsidR="00F61A90" w:rsidRPr="00994773" w:rsidRDefault="00F61A90" w:rsidP="00F61A90">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1</w:t>
      </w:r>
      <w:r w:rsidRPr="00753F9E">
        <w:rPr>
          <w:rFonts w:eastAsia="ＭＳ 明朝" w:hint="eastAsia"/>
          <w:b/>
          <w:sz w:val="22"/>
          <w:szCs w:val="22"/>
        </w:rPr>
        <w:t xml:space="preserve">: </w:t>
      </w:r>
      <w:r w:rsidR="00140D2E">
        <w:rPr>
          <w:rFonts w:eastAsia="ＭＳ 明朝"/>
          <w:b/>
          <w:sz w:val="22"/>
          <w:szCs w:val="22"/>
        </w:rPr>
        <w:t xml:space="preserve">System performance is degraded if no node </w:t>
      </w:r>
      <w:r w:rsidR="00140D2E" w:rsidRPr="00140D2E">
        <w:rPr>
          <w:rFonts w:eastAsia="ＭＳ 明朝"/>
          <w:b/>
          <w:sz w:val="22"/>
          <w:szCs w:val="22"/>
        </w:rPr>
        <w:t>initiate</w:t>
      </w:r>
      <w:r w:rsidR="00140D2E">
        <w:rPr>
          <w:rFonts w:eastAsia="ＭＳ 明朝"/>
          <w:b/>
          <w:sz w:val="22"/>
          <w:szCs w:val="22"/>
        </w:rPr>
        <w:t>s</w:t>
      </w:r>
      <w:r w:rsidR="00140D2E" w:rsidRPr="00140D2E">
        <w:rPr>
          <w:rFonts w:eastAsia="ＭＳ 明朝"/>
          <w:b/>
          <w:sz w:val="22"/>
          <w:szCs w:val="22"/>
        </w:rPr>
        <w:t xml:space="preserve"> COT at the beginning of FFP</w:t>
      </w:r>
    </w:p>
    <w:p w14:paraId="3B653405" w14:textId="5E9D43E1" w:rsidR="00F61A90" w:rsidRPr="00F61A90" w:rsidRDefault="00F61A90" w:rsidP="00AE49BB">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 xml:space="preserve">Study </w:t>
      </w:r>
      <w:r w:rsidR="001E3B1C" w:rsidRPr="001E3B1C">
        <w:rPr>
          <w:rFonts w:eastAsia="ＭＳ 明朝"/>
          <w:b/>
          <w:sz w:val="22"/>
          <w:szCs w:val="22"/>
        </w:rPr>
        <w:t>the solution to initiate COT when no node initiates COT at the beginning of FFP</w:t>
      </w:r>
    </w:p>
    <w:p w14:paraId="7DA9DDF2" w14:textId="77777777" w:rsidR="00F61A90" w:rsidRDefault="00F61A90" w:rsidP="00AE49BB">
      <w:pPr>
        <w:spacing w:afterLines="50" w:after="120"/>
        <w:jc w:val="both"/>
        <w:rPr>
          <w:rFonts w:eastAsia="ＭＳ 明朝"/>
          <w:sz w:val="22"/>
          <w:szCs w:val="22"/>
          <w:lang w:val="en-US"/>
        </w:rPr>
      </w:pPr>
    </w:p>
    <w:p w14:paraId="5B72291E" w14:textId="1F61E622" w:rsidR="003D2476" w:rsidRDefault="00152BA6" w:rsidP="00152BA6">
      <w:pPr>
        <w:spacing w:afterLines="50" w:after="120"/>
        <w:jc w:val="center"/>
        <w:rPr>
          <w:rFonts w:eastAsia="ＭＳ 明朝"/>
          <w:sz w:val="22"/>
          <w:szCs w:val="22"/>
          <w:lang w:val="en-US"/>
        </w:rPr>
      </w:pPr>
      <w:r w:rsidRPr="00152BA6">
        <w:rPr>
          <w:noProof/>
          <w:lang w:val="en-US"/>
        </w:rPr>
        <w:drawing>
          <wp:inline distT="0" distB="0" distL="0" distR="0" wp14:anchorId="3D4100A8" wp14:editId="249FBEA8">
            <wp:extent cx="5715000" cy="15309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1530985"/>
                    </a:xfrm>
                    <a:prstGeom prst="rect">
                      <a:avLst/>
                    </a:prstGeom>
                    <a:noFill/>
                    <a:ln>
                      <a:noFill/>
                    </a:ln>
                  </pic:spPr>
                </pic:pic>
              </a:graphicData>
            </a:graphic>
          </wp:inline>
        </w:drawing>
      </w:r>
    </w:p>
    <w:p w14:paraId="48A8B74A" w14:textId="3298B4C5" w:rsidR="003D2476" w:rsidRDefault="003D2476" w:rsidP="00B7087C">
      <w:pPr>
        <w:spacing w:afterLines="50" w:after="120"/>
        <w:jc w:val="center"/>
        <w:rPr>
          <w:rFonts w:eastAsia="ＭＳ 明朝"/>
          <w:sz w:val="22"/>
          <w:szCs w:val="22"/>
          <w:lang w:val="en-US"/>
        </w:rPr>
      </w:pPr>
      <w:r>
        <w:rPr>
          <w:rFonts w:eastAsia="ＭＳ 明朝" w:hint="eastAsia"/>
          <w:sz w:val="22"/>
          <w:szCs w:val="22"/>
          <w:lang w:val="en-US"/>
        </w:rPr>
        <w:t xml:space="preserve">Figure 1.  Issue when CG-PUSCH transmission occasion </w:t>
      </w:r>
      <w:r w:rsidR="00B7087C">
        <w:rPr>
          <w:rFonts w:eastAsia="ＭＳ 明朝"/>
          <w:sz w:val="22"/>
          <w:szCs w:val="22"/>
          <w:lang w:val="en-US"/>
        </w:rPr>
        <w:t>is configured at the beginning of FFP</w:t>
      </w:r>
    </w:p>
    <w:p w14:paraId="2D4799A9" w14:textId="77777777" w:rsidR="00190A25" w:rsidRPr="006E2EFC" w:rsidRDefault="00190A25" w:rsidP="00AE49BB">
      <w:pPr>
        <w:spacing w:afterLines="50" w:after="120"/>
        <w:jc w:val="both"/>
        <w:rPr>
          <w:rFonts w:eastAsia="ＭＳ 明朝"/>
          <w:sz w:val="22"/>
          <w:szCs w:val="22"/>
        </w:rPr>
      </w:pPr>
    </w:p>
    <w:p w14:paraId="512228A0" w14:textId="7894546C" w:rsidR="00E16C39" w:rsidRPr="00E16C39" w:rsidRDefault="00875C82" w:rsidP="001D1142">
      <w:pPr>
        <w:pStyle w:val="1"/>
        <w:numPr>
          <w:ilvl w:val="1"/>
          <w:numId w:val="6"/>
        </w:numPr>
        <w:spacing w:before="180" w:after="120"/>
        <w:rPr>
          <w:rFonts w:eastAsia="ＭＳ 明朝"/>
          <w:b/>
          <w:bCs/>
          <w:sz w:val="24"/>
          <w:szCs w:val="24"/>
          <w:lang w:val="en-US"/>
        </w:rPr>
      </w:pPr>
      <w:r>
        <w:rPr>
          <w:rFonts w:eastAsia="ＭＳ 明朝"/>
          <w:b/>
          <w:bCs/>
          <w:sz w:val="24"/>
          <w:szCs w:val="24"/>
          <w:lang w:val="en-US"/>
        </w:rPr>
        <w:t>H</w:t>
      </w:r>
      <w:r w:rsidR="001D1142" w:rsidRPr="001D1142">
        <w:rPr>
          <w:rFonts w:eastAsia="ＭＳ 明朝"/>
          <w:b/>
          <w:bCs/>
          <w:sz w:val="24"/>
          <w:szCs w:val="24"/>
          <w:lang w:val="en-US"/>
        </w:rPr>
        <w:t>armonizing UL configured-grant enhancements in NR-U and URLLC</w:t>
      </w:r>
    </w:p>
    <w:p w14:paraId="7E51D4DE" w14:textId="47E4968E" w:rsidR="008E299B" w:rsidRPr="00EC2A40" w:rsidRDefault="00EC2A40" w:rsidP="00AE49BB">
      <w:pPr>
        <w:spacing w:afterLines="50" w:after="120"/>
        <w:jc w:val="both"/>
        <w:rPr>
          <w:rFonts w:eastAsia="ＭＳ 明朝"/>
          <w:sz w:val="22"/>
          <w:szCs w:val="22"/>
          <w:lang w:val="en-US"/>
        </w:rPr>
      </w:pPr>
      <w:r>
        <w:rPr>
          <w:rFonts w:eastAsia="ＭＳ 明朝"/>
          <w:sz w:val="22"/>
          <w:szCs w:val="22"/>
          <w:lang w:val="en-US"/>
        </w:rPr>
        <w:t>In Rel.16, CG-PUSCH has been enhanced both in URLLC/</w:t>
      </w:r>
      <w:proofErr w:type="spellStart"/>
      <w:r>
        <w:rPr>
          <w:rFonts w:eastAsia="ＭＳ 明朝"/>
          <w:sz w:val="22"/>
          <w:szCs w:val="22"/>
          <w:lang w:val="en-US"/>
        </w:rPr>
        <w:t>IIoT</w:t>
      </w:r>
      <w:proofErr w:type="spellEnd"/>
      <w:r>
        <w:rPr>
          <w:rFonts w:eastAsia="ＭＳ 明朝"/>
          <w:sz w:val="22"/>
          <w:szCs w:val="22"/>
          <w:lang w:val="en-US"/>
        </w:rPr>
        <w:t xml:space="preserve"> and NR-U. </w:t>
      </w:r>
      <w:r w:rsidR="008806DC">
        <w:rPr>
          <w:rFonts w:eastAsia="ＭＳ 明朝"/>
          <w:sz w:val="22"/>
          <w:szCs w:val="22"/>
          <w:lang w:val="en-US"/>
        </w:rPr>
        <w:t xml:space="preserve">For URLLC use case and in controlled environment, Rel.16 CG feature would be enough while CG-DFI and CG-UCI has to be indicated </w:t>
      </w:r>
      <w:r w:rsidR="001C0A58">
        <w:rPr>
          <w:rFonts w:eastAsia="ＭＳ 明朝"/>
          <w:sz w:val="22"/>
          <w:szCs w:val="22"/>
          <w:lang w:val="en-US"/>
        </w:rPr>
        <w:t xml:space="preserve">in </w:t>
      </w:r>
      <w:r w:rsidR="00B70978">
        <w:rPr>
          <w:rFonts w:eastAsia="ＭＳ 明朝"/>
          <w:sz w:val="22"/>
          <w:szCs w:val="22"/>
          <w:lang w:val="en-US"/>
        </w:rPr>
        <w:t xml:space="preserve">unlicensed band </w:t>
      </w:r>
      <w:r w:rsidR="001C0A58">
        <w:rPr>
          <w:rFonts w:eastAsia="ＭＳ 明朝"/>
          <w:sz w:val="22"/>
          <w:szCs w:val="22"/>
          <w:lang w:val="en-US"/>
        </w:rPr>
        <w:t xml:space="preserve">for CG-PUSCH. CG-DFI and CG-UCI is useful to improve UL HARQ operation when there is frequent LBT failure. CG-UCI is also useful to indicate COT sharing information to </w:t>
      </w:r>
      <w:proofErr w:type="spellStart"/>
      <w:r w:rsidR="001C0A58">
        <w:rPr>
          <w:rFonts w:eastAsia="ＭＳ 明朝"/>
          <w:sz w:val="22"/>
          <w:szCs w:val="22"/>
          <w:lang w:val="en-US"/>
        </w:rPr>
        <w:t>gNB</w:t>
      </w:r>
      <w:proofErr w:type="spellEnd"/>
      <w:r w:rsidR="001C0A58">
        <w:rPr>
          <w:rFonts w:eastAsia="ＭＳ 明朝"/>
          <w:sz w:val="22"/>
          <w:szCs w:val="22"/>
          <w:lang w:val="en-US"/>
        </w:rPr>
        <w:t xml:space="preserve">. Therefore it should be supported that both CG-PUSCH with/without CG-DFI or CG-UCI can be configured by </w:t>
      </w:r>
      <w:proofErr w:type="spellStart"/>
      <w:r w:rsidR="001C0A58">
        <w:rPr>
          <w:rFonts w:eastAsia="ＭＳ 明朝"/>
          <w:sz w:val="22"/>
          <w:szCs w:val="22"/>
          <w:lang w:val="en-US"/>
        </w:rPr>
        <w:t>gNB</w:t>
      </w:r>
      <w:proofErr w:type="spellEnd"/>
      <w:r w:rsidR="001C0A58">
        <w:rPr>
          <w:rFonts w:eastAsia="ＭＳ 明朝"/>
          <w:sz w:val="22"/>
          <w:szCs w:val="22"/>
          <w:lang w:val="en-US"/>
        </w:rPr>
        <w:t xml:space="preserve"> for flexible CG-PUSCH operation.</w:t>
      </w:r>
    </w:p>
    <w:p w14:paraId="38BC71CA" w14:textId="53A3DB8C" w:rsidR="00712F61" w:rsidRPr="00994773" w:rsidRDefault="00712F61" w:rsidP="00712F61">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w:t>
      </w:r>
      <w:r w:rsidR="004C3317">
        <w:rPr>
          <w:rFonts w:eastAsia="ＭＳ 明朝" w:hint="eastAsia"/>
          <w:b/>
          <w:sz w:val="22"/>
          <w:szCs w:val="22"/>
          <w:u w:val="single"/>
        </w:rPr>
        <w:t>2</w:t>
      </w:r>
      <w:r w:rsidRPr="00753F9E">
        <w:rPr>
          <w:rFonts w:eastAsia="ＭＳ 明朝" w:hint="eastAsia"/>
          <w:b/>
          <w:sz w:val="22"/>
          <w:szCs w:val="22"/>
        </w:rPr>
        <w:t xml:space="preserve">: </w:t>
      </w:r>
      <w:r w:rsidR="00EA7D5C">
        <w:rPr>
          <w:rFonts w:eastAsia="ＭＳ 明朝"/>
          <w:b/>
          <w:sz w:val="22"/>
          <w:szCs w:val="22"/>
        </w:rPr>
        <w:t>There are both cases when CG-DFI and CG-UCI is useful and when not useful in unlicensed band</w:t>
      </w:r>
    </w:p>
    <w:p w14:paraId="08E132ED" w14:textId="78D8702D" w:rsidR="00D10CB5" w:rsidRPr="00C55E26" w:rsidRDefault="00712F61" w:rsidP="00C55E2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4C3317">
        <w:rPr>
          <w:rFonts w:eastAsia="ＭＳ 明朝" w:hint="eastAsia"/>
          <w:b/>
          <w:sz w:val="22"/>
          <w:szCs w:val="22"/>
          <w:u w:val="single"/>
        </w:rPr>
        <w:t>2</w:t>
      </w:r>
      <w:r w:rsidRPr="00753F9E">
        <w:rPr>
          <w:rFonts w:eastAsia="ＭＳ 明朝" w:hint="eastAsia"/>
          <w:b/>
          <w:sz w:val="22"/>
          <w:szCs w:val="22"/>
        </w:rPr>
        <w:t xml:space="preserve">: </w:t>
      </w:r>
      <w:r w:rsidR="004C3317">
        <w:rPr>
          <w:rFonts w:eastAsia="ＭＳ 明朝"/>
          <w:b/>
          <w:sz w:val="22"/>
          <w:szCs w:val="22"/>
        </w:rPr>
        <w:t xml:space="preserve">Support </w:t>
      </w:r>
      <w:r w:rsidR="004C3317" w:rsidRPr="004C3317">
        <w:rPr>
          <w:rFonts w:eastAsia="ＭＳ 明朝"/>
          <w:b/>
          <w:sz w:val="22"/>
          <w:szCs w:val="22"/>
        </w:rPr>
        <w:t>CG-PUSCH with/without CG-DFI or CG-UCI</w:t>
      </w:r>
      <w:r w:rsidR="00BA1782">
        <w:rPr>
          <w:rFonts w:eastAsia="ＭＳ 明朝"/>
          <w:b/>
          <w:sz w:val="22"/>
          <w:szCs w:val="22"/>
        </w:rPr>
        <w:t xml:space="preserve"> by configuration</w:t>
      </w:r>
      <w:r w:rsidR="004C3317">
        <w:rPr>
          <w:rFonts w:eastAsia="ＭＳ 明朝"/>
          <w:b/>
          <w:sz w:val="22"/>
          <w:szCs w:val="22"/>
        </w:rPr>
        <w:t xml:space="preserve"> </w:t>
      </w:r>
      <w:r w:rsidR="00A76595">
        <w:rPr>
          <w:rFonts w:eastAsia="ＭＳ 明朝"/>
          <w:b/>
          <w:sz w:val="22"/>
          <w:szCs w:val="22"/>
        </w:rPr>
        <w:t>in unlicensed band</w:t>
      </w:r>
    </w:p>
    <w:p w14:paraId="18A4009E" w14:textId="77777777" w:rsidR="00124B68" w:rsidRPr="00712F61" w:rsidRDefault="00124B68"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9D434BA"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487684" w:rsidRPr="00C55E26">
        <w:rPr>
          <w:rFonts w:eastAsia="SimSun"/>
          <w:sz w:val="22"/>
          <w:szCs w:val="22"/>
          <w:lang w:val="en-US" w:eastAsia="en-GB"/>
        </w:rPr>
        <w:t>uplink enhancements for URLLC in unlicensed controlled environments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E57890">
        <w:rPr>
          <w:rFonts w:eastAsia="ＭＳ 明朝"/>
          <w:sz w:val="22"/>
          <w:szCs w:val="22"/>
          <w:lang w:val="en-US"/>
        </w:rPr>
        <w:t xml:space="preserve">observations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0FA7744" w14:textId="77777777" w:rsidR="00487684" w:rsidRPr="00994773" w:rsidRDefault="00487684" w:rsidP="00487684">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 xml:space="preserve">System performance is degraded if no node </w:t>
      </w:r>
      <w:r w:rsidRPr="00140D2E">
        <w:rPr>
          <w:rFonts w:eastAsia="ＭＳ 明朝"/>
          <w:b/>
          <w:sz w:val="22"/>
          <w:szCs w:val="22"/>
        </w:rPr>
        <w:t>initiate</w:t>
      </w:r>
      <w:r>
        <w:rPr>
          <w:rFonts w:eastAsia="ＭＳ 明朝"/>
          <w:b/>
          <w:sz w:val="22"/>
          <w:szCs w:val="22"/>
        </w:rPr>
        <w:t>s</w:t>
      </w:r>
      <w:r w:rsidRPr="00140D2E">
        <w:rPr>
          <w:rFonts w:eastAsia="ＭＳ 明朝"/>
          <w:b/>
          <w:sz w:val="22"/>
          <w:szCs w:val="22"/>
        </w:rPr>
        <w:t xml:space="preserve"> COT at the beginning of FFP</w:t>
      </w:r>
    </w:p>
    <w:p w14:paraId="23BE1DE6" w14:textId="77777777" w:rsidR="00487684" w:rsidRPr="00F61A90" w:rsidRDefault="00487684" w:rsidP="00487684">
      <w:pPr>
        <w:spacing w:afterLines="50" w:after="120"/>
        <w:jc w:val="both"/>
        <w:rPr>
          <w:rFonts w:eastAsia="ＭＳ 明朝"/>
          <w:sz w:val="22"/>
          <w:szCs w:val="22"/>
        </w:rPr>
      </w:pPr>
      <w:r>
        <w:rPr>
          <w:rFonts w:eastAsia="ＭＳ 明朝"/>
          <w:b/>
          <w:sz w:val="22"/>
          <w:szCs w:val="22"/>
          <w:u w:val="single"/>
        </w:rPr>
        <w:lastRenderedPageBreak/>
        <w:t>Proposal</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 xml:space="preserve">Study </w:t>
      </w:r>
      <w:r w:rsidRPr="001E3B1C">
        <w:rPr>
          <w:rFonts w:eastAsia="ＭＳ 明朝"/>
          <w:b/>
          <w:sz w:val="22"/>
          <w:szCs w:val="22"/>
        </w:rPr>
        <w:t>the solution to initiate COT when no node initiates COT at the beginning of FFP</w:t>
      </w:r>
    </w:p>
    <w:p w14:paraId="6ED5C95C" w14:textId="77777777" w:rsidR="003728A6" w:rsidRPr="00994773" w:rsidRDefault="003728A6" w:rsidP="003728A6">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2</w:t>
      </w:r>
      <w:r w:rsidRPr="00753F9E">
        <w:rPr>
          <w:rFonts w:eastAsia="ＭＳ 明朝" w:hint="eastAsia"/>
          <w:b/>
          <w:sz w:val="22"/>
          <w:szCs w:val="22"/>
        </w:rPr>
        <w:t xml:space="preserve">: </w:t>
      </w:r>
      <w:r>
        <w:rPr>
          <w:rFonts w:eastAsia="ＭＳ 明朝"/>
          <w:b/>
          <w:sz w:val="22"/>
          <w:szCs w:val="22"/>
        </w:rPr>
        <w:t>There are both cases when CG-DFI and CG-UCI is useful and when not useful in unlicensed band</w:t>
      </w:r>
    </w:p>
    <w:p w14:paraId="1A9AC32A" w14:textId="54BE818D" w:rsidR="003728A6" w:rsidRPr="00C55E26" w:rsidRDefault="003728A6" w:rsidP="003728A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r>
        <w:rPr>
          <w:rFonts w:eastAsia="ＭＳ 明朝"/>
          <w:b/>
          <w:sz w:val="22"/>
          <w:szCs w:val="22"/>
        </w:rPr>
        <w:t xml:space="preserve">Support </w:t>
      </w:r>
      <w:r w:rsidRPr="004C3317">
        <w:rPr>
          <w:rFonts w:eastAsia="ＭＳ 明朝"/>
          <w:b/>
          <w:sz w:val="22"/>
          <w:szCs w:val="22"/>
        </w:rPr>
        <w:t>CG-PUSCH with/without CG-DFI or CG-UCI</w:t>
      </w:r>
      <w:r>
        <w:rPr>
          <w:rFonts w:eastAsia="ＭＳ 明朝"/>
          <w:b/>
          <w:sz w:val="22"/>
          <w:szCs w:val="22"/>
        </w:rPr>
        <w:t xml:space="preserve"> by configuration </w:t>
      </w:r>
      <w:r w:rsidR="00712C19">
        <w:rPr>
          <w:rFonts w:eastAsia="ＭＳ 明朝"/>
          <w:b/>
          <w:sz w:val="22"/>
          <w:szCs w:val="22"/>
        </w:rPr>
        <w:t>in unlicensed band</w:t>
      </w:r>
    </w:p>
    <w:p w14:paraId="60B7E350" w14:textId="77777777" w:rsidR="00790915" w:rsidRPr="003728A6"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212B0EE" w14:textId="05F12A7C" w:rsidR="00E853F5" w:rsidRDefault="00DF474E" w:rsidP="00DF474E">
      <w:pPr>
        <w:pStyle w:val="afc"/>
        <w:numPr>
          <w:ilvl w:val="0"/>
          <w:numId w:val="4"/>
        </w:numPr>
        <w:spacing w:afterLines="50" w:after="120"/>
        <w:ind w:leftChars="0"/>
        <w:jc w:val="both"/>
        <w:rPr>
          <w:rFonts w:eastAsia="ＭＳ 明朝"/>
          <w:sz w:val="22"/>
        </w:rPr>
      </w:pPr>
      <w:r w:rsidRPr="00DF474E">
        <w:rPr>
          <w:rFonts w:eastAsia="ＭＳ 明朝"/>
          <w:sz w:val="22"/>
        </w:rPr>
        <w:t>Nokia, Nokia Shanghai Bell</w:t>
      </w:r>
      <w:r w:rsidR="00E853F5">
        <w:rPr>
          <w:rFonts w:eastAsia="ＭＳ 明朝"/>
          <w:sz w:val="22"/>
        </w:rPr>
        <w:t>, RP-</w:t>
      </w:r>
      <w:r w:rsidR="00E853F5" w:rsidRPr="00AE6090">
        <w:rPr>
          <w:rFonts w:eastAsia="ＭＳ 明朝"/>
          <w:sz w:val="22"/>
        </w:rPr>
        <w:t>20131</w:t>
      </w:r>
      <w:r>
        <w:rPr>
          <w:rFonts w:eastAsia="ＭＳ 明朝"/>
          <w:sz w:val="22"/>
        </w:rPr>
        <w:t>0</w:t>
      </w:r>
      <w:r w:rsidR="00E853F5">
        <w:rPr>
          <w:rFonts w:eastAsia="ＭＳ 明朝"/>
          <w:sz w:val="22"/>
        </w:rPr>
        <w:t xml:space="preserve">, </w:t>
      </w:r>
      <w:proofErr w:type="gramStart"/>
      <w:r w:rsidRPr="00DF474E">
        <w:rPr>
          <w:rFonts w:eastAsia="ＭＳ 明朝"/>
          <w:sz w:val="22"/>
        </w:rPr>
        <w:t>Revised</w:t>
      </w:r>
      <w:proofErr w:type="gramEnd"/>
      <w:r w:rsidRPr="00DF474E">
        <w:rPr>
          <w:rFonts w:eastAsia="ＭＳ 明朝"/>
          <w:sz w:val="22"/>
        </w:rPr>
        <w:t xml:space="preserve"> WID: Enhanced Industrial Internet of Things (</w:t>
      </w:r>
      <w:proofErr w:type="spellStart"/>
      <w:r w:rsidRPr="00DF474E">
        <w:rPr>
          <w:rFonts w:eastAsia="ＭＳ 明朝"/>
          <w:sz w:val="22"/>
        </w:rPr>
        <w:t>IoT</w:t>
      </w:r>
      <w:proofErr w:type="spellEnd"/>
      <w:r w:rsidRPr="00DF474E">
        <w:rPr>
          <w:rFonts w:eastAsia="ＭＳ 明朝"/>
          <w:sz w:val="22"/>
        </w:rPr>
        <w:t>) and ultra-reliable and low latency communication (URLLC) support for NR</w:t>
      </w:r>
      <w:r w:rsidR="00E853F5">
        <w:rPr>
          <w:rFonts w:eastAsia="ＭＳ 明朝"/>
          <w:sz w:val="22"/>
        </w:rPr>
        <w:t>, June 2020.</w:t>
      </w:r>
    </w:p>
    <w:sectPr w:rsidR="00E853F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EE478" w14:textId="77777777" w:rsidR="005E4C21" w:rsidRDefault="005E4C21">
      <w:r>
        <w:separator/>
      </w:r>
    </w:p>
  </w:endnote>
  <w:endnote w:type="continuationSeparator" w:id="0">
    <w:p w14:paraId="40821D65" w14:textId="77777777" w:rsidR="005E4C21" w:rsidRDefault="005E4C21">
      <w:r>
        <w:continuationSeparator/>
      </w:r>
    </w:p>
  </w:endnote>
  <w:endnote w:type="continuationNotice" w:id="1">
    <w:p w14:paraId="72349BDF" w14:textId="77777777" w:rsidR="005E4C21" w:rsidRDefault="005E4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C459AE8"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3661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36615">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D31F1" w14:textId="77777777" w:rsidR="005E4C21" w:rsidRDefault="005E4C21">
      <w:r>
        <w:separator/>
      </w:r>
    </w:p>
  </w:footnote>
  <w:footnote w:type="continuationSeparator" w:id="0">
    <w:p w14:paraId="50DE5F3A" w14:textId="77777777" w:rsidR="005E4C21" w:rsidRDefault="005E4C21">
      <w:r>
        <w:continuationSeparator/>
      </w:r>
    </w:p>
  </w:footnote>
  <w:footnote w:type="continuationNotice" w:id="1">
    <w:p w14:paraId="31C163BB" w14:textId="77777777" w:rsidR="005E4C21" w:rsidRDefault="005E4C2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992A13"/>
    <w:multiLevelType w:val="hybridMultilevel"/>
    <w:tmpl w:val="ACC0AD72"/>
    <w:lvl w:ilvl="0" w:tplc="03E02AE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F0207"/>
    <w:multiLevelType w:val="hybridMultilevel"/>
    <w:tmpl w:val="ECBC7222"/>
    <w:lvl w:ilvl="0" w:tplc="2BC6BCE2">
      <w:start w:val="1"/>
      <w:numFmt w:val="bullet"/>
      <w:lvlText w:val=""/>
      <w:lvlJc w:val="left"/>
      <w:pPr>
        <w:ind w:left="476" w:hanging="420"/>
      </w:pPr>
      <w:rPr>
        <w:rFonts w:ascii="Symbol" w:hAnsi="Symbol"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7" w15:restartNumberingAfterBreak="0">
    <w:nsid w:val="1B0E0BF0"/>
    <w:multiLevelType w:val="hybridMultilevel"/>
    <w:tmpl w:val="60864B5A"/>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557962"/>
    <w:multiLevelType w:val="hybridMultilevel"/>
    <w:tmpl w:val="DD023FE2"/>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7"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E1B85"/>
    <w:multiLevelType w:val="hybridMultilevel"/>
    <w:tmpl w:val="0D4A3E88"/>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5"/>
  </w:num>
  <w:num w:numId="4">
    <w:abstractNumId w:val="9"/>
  </w:num>
  <w:num w:numId="5">
    <w:abstractNumId w:val="45"/>
  </w:num>
  <w:num w:numId="6">
    <w:abstractNumId w:val="30"/>
  </w:num>
  <w:num w:numId="7">
    <w:abstractNumId w:val="3"/>
  </w:num>
  <w:num w:numId="8">
    <w:abstractNumId w:val="11"/>
  </w:num>
  <w:num w:numId="9">
    <w:abstractNumId w:val="38"/>
  </w:num>
  <w:num w:numId="10">
    <w:abstractNumId w:val="2"/>
  </w:num>
  <w:num w:numId="11">
    <w:abstractNumId w:val="21"/>
  </w:num>
  <w:num w:numId="12">
    <w:abstractNumId w:val="41"/>
  </w:num>
  <w:num w:numId="13">
    <w:abstractNumId w:val="5"/>
  </w:num>
  <w:num w:numId="14">
    <w:abstractNumId w:val="33"/>
  </w:num>
  <w:num w:numId="15">
    <w:abstractNumId w:val="26"/>
  </w:num>
  <w:num w:numId="16">
    <w:abstractNumId w:val="37"/>
  </w:num>
  <w:num w:numId="17">
    <w:abstractNumId w:val="42"/>
  </w:num>
  <w:num w:numId="18">
    <w:abstractNumId w:val="14"/>
  </w:num>
  <w:num w:numId="19">
    <w:abstractNumId w:val="46"/>
  </w:num>
  <w:num w:numId="20">
    <w:abstractNumId w:val="13"/>
  </w:num>
  <w:num w:numId="21">
    <w:abstractNumId w:val="19"/>
  </w:num>
  <w:num w:numId="22">
    <w:abstractNumId w:val="1"/>
  </w:num>
  <w:num w:numId="23">
    <w:abstractNumId w:val="28"/>
  </w:num>
  <w:num w:numId="24">
    <w:abstractNumId w:val="29"/>
  </w:num>
  <w:num w:numId="25">
    <w:abstractNumId w:val="27"/>
  </w:num>
  <w:num w:numId="26">
    <w:abstractNumId w:val="36"/>
  </w:num>
  <w:num w:numId="27">
    <w:abstractNumId w:val="24"/>
  </w:num>
  <w:num w:numId="28">
    <w:abstractNumId w:val="44"/>
  </w:num>
  <w:num w:numId="29">
    <w:abstractNumId w:val="23"/>
  </w:num>
  <w:num w:numId="30">
    <w:abstractNumId w:val="17"/>
  </w:num>
  <w:num w:numId="31">
    <w:abstractNumId w:val="31"/>
  </w:num>
  <w:num w:numId="32">
    <w:abstractNumId w:val="22"/>
  </w:num>
  <w:num w:numId="33">
    <w:abstractNumId w:val="10"/>
  </w:num>
  <w:num w:numId="34">
    <w:abstractNumId w:val="8"/>
  </w:num>
  <w:num w:numId="35">
    <w:abstractNumId w:val="16"/>
  </w:num>
  <w:num w:numId="36">
    <w:abstractNumId w:val="39"/>
  </w:num>
  <w:num w:numId="37">
    <w:abstractNumId w:val="4"/>
  </w:num>
  <w:num w:numId="38">
    <w:abstractNumId w:val="34"/>
  </w:num>
  <w:num w:numId="39">
    <w:abstractNumId w:val="6"/>
  </w:num>
  <w:num w:numId="40">
    <w:abstractNumId w:val="25"/>
  </w:num>
  <w:num w:numId="41">
    <w:abstractNumId w:val="12"/>
  </w:num>
  <w:num w:numId="42">
    <w:abstractNumId w:val="43"/>
  </w:num>
  <w:num w:numId="43">
    <w:abstractNumId w:val="40"/>
  </w:num>
  <w:num w:numId="44">
    <w:abstractNumId w:val="18"/>
  </w:num>
  <w:num w:numId="45">
    <w:abstractNumId w:val="20"/>
  </w:num>
  <w:num w:numId="46">
    <w:abstractNumId w:val="32"/>
  </w:num>
  <w:num w:numId="4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0D2E"/>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2BA6"/>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A25"/>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A5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142"/>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38F"/>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1A7B"/>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615"/>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8A6"/>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B52"/>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7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684"/>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317"/>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A6F"/>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F2"/>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1"/>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AD4"/>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19"/>
    <w:rsid w:val="00712CEC"/>
    <w:rsid w:val="00712F61"/>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6BB"/>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82"/>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6DC"/>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99B"/>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B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595"/>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1A7"/>
    <w:rsid w:val="00A833D8"/>
    <w:rsid w:val="00A8383D"/>
    <w:rsid w:val="00A83E4A"/>
    <w:rsid w:val="00A84BED"/>
    <w:rsid w:val="00A85131"/>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7A"/>
    <w:rsid w:val="00B11DF2"/>
    <w:rsid w:val="00B11F09"/>
    <w:rsid w:val="00B12393"/>
    <w:rsid w:val="00B1290C"/>
    <w:rsid w:val="00B12E99"/>
    <w:rsid w:val="00B13265"/>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87C"/>
    <w:rsid w:val="00B70978"/>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782"/>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26"/>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CB5"/>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5FD2"/>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5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A40"/>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5D2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0"/>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39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68E5B-7005-4EBC-88EF-066D1D76B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4611</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2020-05-14T02:09:00Z</dcterms:created>
  <dcterms:modified xsi:type="dcterms:W3CDTF">2020-08-07T08:36:00Z</dcterms:modified>
</cp:coreProperties>
</file>